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Lato" w:cs="Lato" w:eastAsia="Lato" w:hAnsi="Lato"/>
          <w:color w:val="4c1130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color w:val="4c1130"/>
          <w:sz w:val="32"/>
          <w:szCs w:val="32"/>
          <w:rtl w:val="0"/>
        </w:rPr>
        <w:t xml:space="preserve">BRIGHTON COMMUNITIES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-933449</wp:posOffset>
                </wp:positionH>
                <wp:positionV relativeFrom="paragraph">
                  <wp:posOffset>114300</wp:posOffset>
                </wp:positionV>
                <wp:extent cx="266700" cy="899636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495925" y="1287875"/>
                          <a:ext cx="6637500" cy="4606800"/>
                        </a:xfrm>
                        <a:prstGeom prst="rect">
                          <a:avLst/>
                        </a:prstGeom>
                        <a:solidFill>
                          <a:srgbClr val="A64D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-933449</wp:posOffset>
                </wp:positionH>
                <wp:positionV relativeFrom="paragraph">
                  <wp:posOffset>114300</wp:posOffset>
                </wp:positionV>
                <wp:extent cx="266700" cy="8996363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89963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19050</wp:posOffset>
            </wp:positionV>
            <wp:extent cx="431100" cy="505685"/>
            <wp:effectExtent b="0" l="0" r="0" t="0"/>
            <wp:wrapSquare wrapText="bothSides" distB="19050" distT="19050" distL="19050" distR="19050"/>
            <wp:docPr descr="BrightonLogo.jpg" id="3" name="image1.jpg"/>
            <a:graphic>
              <a:graphicData uri="http://schemas.openxmlformats.org/drawingml/2006/picture">
                <pic:pic>
                  <pic:nvPicPr>
                    <pic:cNvPr descr="Brighton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100" cy="505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Lato" w:cs="Lato" w:eastAsia="Lato" w:hAnsi="Lato"/>
          <w:color w:val="595959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595959"/>
          <w:sz w:val="20"/>
          <w:szCs w:val="20"/>
          <w:rtl w:val="0"/>
        </w:rPr>
        <w:t xml:space="preserve">Celebrating 25 years - Planning for the Next 25</w:t>
      </w:r>
    </w:p>
    <w:p w:rsidR="00000000" w:rsidDel="00000000" w:rsidP="00000000" w:rsidRDefault="00000000" w:rsidRPr="00000000" w14:paraId="00000003">
      <w:pPr>
        <w:widowControl w:val="0"/>
        <w:spacing w:after="0" w:line="216" w:lineRule="auto"/>
        <w:rPr>
          <w:rFonts w:ascii="Lato" w:cs="Lato" w:eastAsia="Lato" w:hAnsi="Lato"/>
          <w:color w:val="1a2243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widowControl w:val="0"/>
        <w:spacing w:after="0" w:line="276" w:lineRule="auto"/>
        <w:rPr>
          <w:sz w:val="68"/>
          <w:szCs w:val="68"/>
        </w:rPr>
      </w:pPr>
      <w:bookmarkStart w:colFirst="0" w:colLast="0" w:name="_lws2av90sw6g" w:id="0"/>
      <w:bookmarkEnd w:id="0"/>
      <w:r w:rsidDel="00000000" w:rsidR="00000000" w:rsidRPr="00000000">
        <w:rPr>
          <w:sz w:val="60"/>
          <w:szCs w:val="60"/>
          <w:rtl w:val="0"/>
        </w:rPr>
        <w:t xml:space="preserve">Building the Neighborhood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widowControl w:val="0"/>
        <w:spacing w:after="0" w:line="276" w:lineRule="auto"/>
        <w:rPr>
          <w:color w:val="99497e"/>
          <w:sz w:val="52"/>
          <w:szCs w:val="52"/>
        </w:rPr>
      </w:pPr>
      <w:bookmarkStart w:colFirst="0" w:colLast="0" w:name="_jat9x9ke87x" w:id="1"/>
      <w:bookmarkEnd w:id="1"/>
      <w:r w:rsidDel="00000000" w:rsidR="00000000" w:rsidRPr="00000000">
        <w:rPr>
          <w:b w:val="1"/>
          <w:color w:val="99497e"/>
          <w:sz w:val="84"/>
          <w:szCs w:val="84"/>
          <w:rtl w:val="0"/>
        </w:rPr>
        <w:t xml:space="preserve">Transportation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jc w:val="center"/>
        <w:rPr>
          <w:rFonts w:ascii="Comfortaa" w:cs="Comfortaa" w:eastAsia="Comfortaa" w:hAnsi="Comfortaa"/>
          <w:color w:val="99497e"/>
        </w:rPr>
      </w:pPr>
      <w:r w:rsidDel="00000000" w:rsidR="00000000" w:rsidRPr="00000000">
        <w:rPr>
          <w:rFonts w:ascii="Comfortaa" w:cs="Comfortaa" w:eastAsia="Comfortaa" w:hAnsi="Comfortaa"/>
          <w:color w:val="4c1130"/>
          <w:sz w:val="46"/>
          <w:szCs w:val="46"/>
          <w:rtl w:val="0"/>
        </w:rPr>
        <w:t xml:space="preserve">Why We’re Re-building the Corner that Holds Brighton Together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-442912</wp:posOffset>
            </wp:positionH>
            <wp:positionV relativeFrom="paragraph">
              <wp:posOffset>161925</wp:posOffset>
            </wp:positionV>
            <wp:extent cx="4766457" cy="6834187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639" r="639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66457" cy="683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yq4m38bgjdh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4hnsdaezhf9e" w:id="3"/>
      <w:bookmarkEnd w:id="3"/>
      <w:r w:rsidDel="00000000" w:rsidR="00000000" w:rsidRPr="00000000">
        <w:rPr>
          <w:rtl w:val="0"/>
        </w:rPr>
        <w:t xml:space="preserve">A Walk Down Holly &amp; Rainier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Stand on Holly Street where it meets Rainier Avenue today and you feel the whole neighborhood trying to squeeze through a space that was never built for people. Worn, narrow walks tip toward the gutter; buses heave past at 30 mph; a parent with a stroller hesitates because the push-button pole sits six feet into the puddle. Yet just beyond the traffic you can hear the drum circle warming up at ADEFUA, smell late-morning injera at Rainier Mini-Mart, and spot Granddad waving from the Brighton Apartments balcony. All the life is here—but the street’s design still treats us like a place to pass through, not to gather.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Brighton’s next chapter flips that script. We are turning the Holly × Rainier crossroads into a </w:t>
      </w:r>
      <w:r w:rsidDel="00000000" w:rsidR="00000000" w:rsidRPr="00000000">
        <w:rPr>
          <w:b w:val="1"/>
          <w:rtl w:val="0"/>
        </w:rPr>
        <w:t xml:space="preserve">front porch for the entire community—a raised, tree-lined civic room where catching the bus is as comfortable as catching up with a neighbor</w:t>
      </w:r>
      <w:r w:rsidDel="00000000" w:rsidR="00000000" w:rsidRPr="00000000">
        <w:rPr>
          <w:rtl w:val="0"/>
        </w:rPr>
        <w:t xml:space="preserve">. The project is not a cosmetic “streetscape”; it is a piece of social infrastructure wired directly to our anti-displacement strategy: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Walk first, ride second, drive last. </w:t>
      </w:r>
      <w:r w:rsidDel="00000000" w:rsidR="00000000" w:rsidRPr="00000000">
        <w:rPr>
          <w:rtl w:val="0"/>
        </w:rPr>
        <w:t xml:space="preserve">Fourteen-foot sidewalks, continuous planter-bioswales, and a table-top intersection slow traffic to human speed and let a grandmother cross without racing the countdown clock.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No-excuse access to work. </w:t>
      </w:r>
      <w:r w:rsidDel="00000000" w:rsidR="00000000" w:rsidRPr="00000000">
        <w:rPr>
          <w:rtl w:val="0"/>
        </w:rPr>
        <w:t xml:space="preserve">A center-island platform knits Metro’s future RapidRide R with our zero-fare B-Line shuttle, guaranteeing a five-minute-headway link to Othello Station and 50 000 downtown jobs before sunrise shifts even start.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Bright at midnight.</w:t>
      </w:r>
      <w:r w:rsidDel="00000000" w:rsidR="00000000" w:rsidRPr="00000000">
        <w:rPr>
          <w:rtl w:val="0"/>
        </w:rPr>
        <w:t xml:space="preserve"> New full-cut-off LED poles and waist-high bollard lights every 60 feet bathe crosswalks, bus shelters, and curb bulbs in even, shadow-free light so teens feel as safe walking home from practice as they do at noon.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Culture lives at the curb.</w:t>
      </w:r>
      <w:r w:rsidDel="00000000" w:rsidR="00000000" w:rsidRPr="00000000">
        <w:rPr>
          <w:rtl w:val="0"/>
        </w:rPr>
        <w:t xml:space="preserve"> We set the Campus building back twenty feet, creating a micro-plaza where ADEFUA can host pop-up drum classes, Urban Family can run a bike-fix clinic, and street vendors keep Saturday mornings smelling like lumpia and coffee.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short, the rebuild makes the main intersection tell the same story our housing and business projects already tell: Brighton belongs to those who live and work here. Concrete, signal timing, and planter soil become tools for wealth-building and well-being, not barriers. By 2029 every front door on the Campus will sit within a two-minute, weather-protected walk of a five-minute bus, and average travel time to Link will be cut almost in half—hard, measurable proof that a safer street is also a stronger job ladder.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technical sheets that follow translate this narrative into curb radii, drainage details, and funding line-items. But the headline never changes: </w:t>
      </w:r>
      <w:r w:rsidDel="00000000" w:rsidR="00000000" w:rsidRPr="00000000">
        <w:rPr>
          <w:b w:val="1"/>
          <w:rtl w:val="0"/>
        </w:rPr>
        <w:t xml:space="preserve">we are turning Holly &amp; Rainier from a choke-point into Brighton’s living room, a place where movement, memory, and opportunity meet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Below is a working playbook you can hand to SDOT (and our own design team) for the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Rainier Ave S ✕ S Holly St “Central Hub” rebuild</w:t>
      </w:r>
      <w:r w:rsidDel="00000000" w:rsidR="00000000" w:rsidRPr="00000000">
        <w:rPr>
          <w:rtl w:val="0"/>
        </w:rPr>
        <w:t xml:space="preserve">. I’ve tried to translate your must-haves into specific engineering actions, an approval path, and a funding logic. Let me know which details you’d like dialled in further—especially what you mean by “open Brighton Street” (re-establishing a vehicular connection east-west, or creating a woonerf through the campus?).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rPr/>
      </w:pPr>
      <w:bookmarkStart w:colFirst="0" w:colLast="0" w:name="_5rskxij7vc3r" w:id="4"/>
      <w:bookmarkEnd w:id="4"/>
      <w:r w:rsidDel="00000000" w:rsidR="00000000" w:rsidRPr="00000000">
        <w:rPr>
          <w:rtl w:val="0"/>
        </w:rPr>
        <w:t xml:space="preserve">Design Objectives (non-negotiable)</w:t>
      </w:r>
    </w:p>
    <w:tbl>
      <w:tblPr>
        <w:tblStyle w:val="Table1"/>
        <w:tblW w:w="9360.0" w:type="dxa"/>
        <w:jc w:val="lef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2194"/>
        <w:gridCol w:w="7166"/>
        <w:tblGridChange w:id="0">
          <w:tblGrid>
            <w:gridCol w:w="2194"/>
            <w:gridCol w:w="7166"/>
          </w:tblGrid>
        </w:tblGridChange>
      </w:tblGrid>
      <w:tr>
        <w:trPr>
          <w:cantSplit w:val="0"/>
          <w:tblHeader w:val="1"/>
        </w:trPr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it shows up at the intersection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 &amp; dignified walking space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Continuous 14 ft sidewalks (min) on all four corners, raised 6 in above gutter, with 8 ft clear zone, 4 ft furnishings/green strip, + 2 ft frontage zone for cafés and kiosks.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Zero-barrier job access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0" w:line="240" w:lineRule="auto"/>
              <w:ind w:left="36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40 ft centre-island bus platforms (both directions) sized for future RapidRide R Line and B-line shuttle.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after="0" w:line="240" w:lineRule="auto"/>
              <w:ind w:left="360" w:hanging="270"/>
              <w:rPr>
                <w:u w:val="none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Signal priority + 90 sec cycle length so buses hit ≤ 20 sec average delay—critical for 6 am shift starts.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0" w:line="240" w:lineRule="auto"/>
              <w:ind w:left="36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WAV-ready curb bay for Access paratransit and on-demand vans.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Strong night-time visibility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Full-cut-off LED poles every 60 ft, pedestrian-level bollard lighting on both crosswalk legs; lighting levels meet IES RP-8-21 “Downtown Pedestrian Way” class.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Predictable car flow (not fast, but smooth)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3-lane Rainier template (one through in each direction + centre turn pocket), protected lefts (done 2019), and no slip lanes. Smart right-turn hold when pedestrians present keeps volumes moving without roll-throughs.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culture &amp; retail frontage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ft building setback on Brighton Campus SW corner to create a micro-plaza for pop-up vendors, ADEFUA performances, and weekend craft markets.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(Existing SDOT docs already confirm left-turn arrows and pedestrian timing upgrades at this location; now we layer the heavy civil work.)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seattle.govseattle.gov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rPr/>
      </w:pPr>
      <w:bookmarkStart w:colFirst="0" w:colLast="0" w:name="_swlrnysm9ksa" w:id="5"/>
      <w:bookmarkEnd w:id="5"/>
      <w:r w:rsidDel="00000000" w:rsidR="00000000" w:rsidRPr="00000000">
        <w:rPr>
          <w:rtl w:val="0"/>
        </w:rPr>
        <w:t xml:space="preserve">Geometry &amp; Streetscape Package</w:t>
      </w:r>
    </w:p>
    <w:tbl>
      <w:tblPr>
        <w:tblStyle w:val="Table2"/>
        <w:tblW w:w="936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2394"/>
        <w:gridCol w:w="6966"/>
        <w:tblGridChange w:id="0">
          <w:tblGrid>
            <w:gridCol w:w="2394"/>
            <w:gridCol w:w="6966"/>
          </w:tblGrid>
        </w:tblGridChange>
      </w:tblGrid>
      <w:tr>
        <w:trPr>
          <w:cantSplit w:val="0"/>
          <w:tblHeader w:val="1"/>
        </w:trPr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</w:p>
        </w:tc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Raised, table-top intersection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in height transition over 20 ft, flush with sidewalks. Forces 15–18 mph entry speeds yet still OK for Metro coaches (per SDOT/Metro raised intersection pilot at 23rd &amp; Jackson).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Curb extensions / protected corners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 ft curb bulbs; radius = 15 ft for passenger cars, SB right radius = 25 ft (bus-friendly) using mountable apron.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Continuous green infrastructure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Bioretention planters along the 4 ft furnishing zone; dual function stormwater + buffer from traffic.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Signal logic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Leading Pedestrian Interval (LPI) 7 s; 20 s WALK + 10 s flashing countdown. APS push-buttons with locator tone (already noted in SDOT YVYC list).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seattle.gov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Crosswalks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ft zebra, epoxy aggregate; tactile pavers at curb ramps.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Cycle facilities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Two-way protected bike lane on west side of Rainier tying north to Graham “green street,” south to Brighton-Othello Trail.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“Brighton Street opening” (placeholder)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reopening the platted Brighton Ave S between Rainier and 44th Ave: 26 ft shared lane, raised entry, one-way westbound (outbound) to relieve Campus parking load while keeping cut-through speeds low.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Title"/>
        <w:rPr/>
      </w:pPr>
      <w:bookmarkStart w:colFirst="0" w:colLast="0" w:name="_pgg7xndxx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rPr/>
      </w:pPr>
      <w:bookmarkStart w:colFirst="0" w:colLast="0" w:name="_96vadwbbsavj" w:id="7"/>
      <w:bookmarkEnd w:id="7"/>
      <w:r w:rsidDel="00000000" w:rsidR="00000000" w:rsidRPr="00000000">
        <w:rPr>
          <w:rtl w:val="0"/>
        </w:rPr>
        <w:t xml:space="preserve">Project Development Road-Map</w:t>
      </w:r>
    </w:p>
    <w:tbl>
      <w:tblPr>
        <w:tblStyle w:val="Table3"/>
        <w:tblW w:w="936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2725"/>
        <w:gridCol w:w="1436"/>
        <w:gridCol w:w="5199"/>
        <w:tblGridChange w:id="0">
          <w:tblGrid>
            <w:gridCol w:w="2725"/>
            <w:gridCol w:w="1436"/>
            <w:gridCol w:w="5199"/>
          </w:tblGrid>
        </w:tblGridChange>
      </w:tblGrid>
      <w:tr>
        <w:trPr>
          <w:cantSplit w:val="0"/>
          <w:tblHeader w:val="1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Step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 date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Deliverable / decision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30 % Concept Plans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2026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Horizontal/vertical geometry • Drainage concept • Order-of-magnitude cost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SDOT Complete Streets &amp; Vision Zero review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 2026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Green-light on raised intersection + bulb-outs (requires Transit Division concurrence)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60 % Design &amp; Environmental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 2026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SEPA checklist; traffic ops memo proving Level-of-Service D or better for buses/cars across peak two-hour window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Right-of-way &amp; utility clearances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Q1 2027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Franchise utility vault relocation plan; PSE/Seattle City Light conduit for street-lighting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100 % PS&amp;E &amp; bid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 2027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Bid-ready set + engineer’s estimate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Construction window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 2028 – Dec 2028 (9 mo)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Staged so one bus lane in each direction always open; night/weekend concrete pours for the raised table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Title"/>
        <w:rPr/>
      </w:pPr>
      <w:bookmarkStart w:colFirst="0" w:colLast="0" w:name="_z6v0pfs5dg2y" w:id="8"/>
      <w:bookmarkEnd w:id="8"/>
      <w:r w:rsidDel="00000000" w:rsidR="00000000" w:rsidRPr="00000000">
        <w:rPr>
          <w:rtl w:val="0"/>
        </w:rPr>
        <w:t xml:space="preserve">Funding &amp; Partners</w:t>
      </w:r>
    </w:p>
    <w:tbl>
      <w:tblPr>
        <w:tblStyle w:val="Table4"/>
        <w:tblW w:w="9855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3900"/>
        <w:gridCol w:w="1860"/>
        <w:gridCol w:w="4095"/>
        <w:tblGridChange w:id="0">
          <w:tblGrid>
            <w:gridCol w:w="3900"/>
            <w:gridCol w:w="1860"/>
            <w:gridCol w:w="4095"/>
          </w:tblGrid>
        </w:tblGridChange>
      </w:tblGrid>
      <w:tr>
        <w:trPr>
          <w:cantSplit w:val="0"/>
          <w:tblHeader w:val="1"/>
        </w:trPr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</w:p>
        </w:tc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Est. $</w:t>
            </w:r>
          </w:p>
        </w:tc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Move Seattle Levy 2 (renewal, 2025 ballot)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$3.5 M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Category: “Pedestrian Safety Corridors”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King County Metro R Line Access to Transit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$1.2 M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Corridor plan already highlights pedestrian lighting at Holly.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kingcounty.gov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FHWA Safe Streets &amp; Roads for All (SS4A)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$2 M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Raised intersection + LPI qualifies as systemic safety countermeasure.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Neighborhood Street Fund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$500 k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Community-submitted in 2026 cycle; leverages Brighton Communities volunteer match.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Seattle City Light Neighborhood Street Lighting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In-kind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Pole, conduit, energy costs.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Total construction cost (Class 4 estimate): $7.2 M.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Title"/>
        <w:rPr/>
      </w:pPr>
      <w:bookmarkStart w:colFirst="0" w:colLast="0" w:name="_c8hh9jxn79k8" w:id="9"/>
      <w:bookmarkEnd w:id="9"/>
      <w:r w:rsidDel="00000000" w:rsidR="00000000" w:rsidRPr="00000000">
        <w:rPr>
          <w:rtl w:val="0"/>
        </w:rPr>
        <w:t xml:space="preserve">“Jobs Access” Performance Clause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Because you said this is not optional, we bake job-access KPIs directly into the SDOT/Metro design agreement:</w:t>
      </w:r>
    </w:p>
    <w:tbl>
      <w:tblPr>
        <w:tblStyle w:val="Table5"/>
        <w:tblW w:w="936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5130"/>
        <w:gridCol w:w="1650"/>
        <w:gridCol w:w="2580"/>
        <w:tblGridChange w:id="0">
          <w:tblGrid>
            <w:gridCol w:w="5130"/>
            <w:gridCol w:w="1650"/>
            <w:gridCol w:w="2580"/>
          </w:tblGrid>
        </w:tblGridChange>
      </w:tblGrid>
      <w:tr>
        <w:trPr>
          <w:cantSplit w:val="0"/>
          <w:tblHeader w:val="1"/>
        </w:trPr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Metric</w:t>
            </w:r>
          </w:p>
        </w:tc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Baseline (2024)</w:t>
            </w:r>
          </w:p>
        </w:tc>
        <w:tc>
          <w:tcPr>
            <w:shd w:fill="ccccc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Post-opening (2029) requirement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Walk-time from any Brighton Campus front door to a 5 min headway bus/shuttle stop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 min avg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≤ 2 min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AM peak (6-9 am) one-seat ride opportunities to ≥ 50,000 jobs (Downtown + SODO)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 buses/hr</w:t>
            </w:r>
          </w:p>
        </w:tc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≥ 18 buses/hr</w: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Average in-vehicle travel time Campus → Othello Link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 min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≤ 7 min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SDOT performance payments are tied to meeting these thresholds each year for the first three years of operation.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Title"/>
        <w:rPr/>
      </w:pPr>
      <w:bookmarkStart w:colFirst="0" w:colLast="0" w:name="_j0gar6rlp4aq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Title"/>
        <w:rPr/>
      </w:pPr>
      <w:bookmarkStart w:colFirst="0" w:colLast="0" w:name="_sb6fmjdo2b74" w:id="11"/>
      <w:bookmarkEnd w:id="11"/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Confirm scope of “open Brighton Street.”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Choose sidewalk furnishing palette (street trees vs. continuous planter boxes).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Meet SDOT Vision Zero team in August to confirm raised-table intersection is acceptable for Rainier’s bus volumes.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Title"/>
        <w:rPr/>
      </w:pPr>
      <w:bookmarkStart w:colFirst="0" w:colLast="0" w:name="_rubrxqm14vhs" w:id="12"/>
      <w:bookmarkEnd w:id="12"/>
      <w:r w:rsidDel="00000000" w:rsidR="00000000" w:rsidRPr="00000000">
        <w:rPr>
          <w:rtl w:val="0"/>
        </w:rPr>
        <w:t xml:space="preserve">Parking &amp; Curb-Space Strategy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(making room for cars without letting cars run the room)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Brighton’s streets already serve more functions than any curb can comfortably hold—bus stops, paratransit, deliveries, scooters, car-share, café seating, and yes, private parking. Rather than wage an endless tug-of-war for the same  22 feet of asphalt, we are treating parking as a managed community asset with clear rules that match the way neighbors actually live and travel.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Subtitle"/>
        <w:rPr/>
      </w:pPr>
      <w:bookmarkStart w:colFirst="0" w:colLast="0" w:name="_fb375m49d7jn" w:id="13"/>
      <w:bookmarkEnd w:id="13"/>
      <w:r w:rsidDel="00000000" w:rsidR="00000000" w:rsidRPr="00000000">
        <w:rPr>
          <w:rtl w:val="0"/>
        </w:rPr>
        <w:t xml:space="preserve">1 | Create the Brighton Access Parking District (BAPD)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Restricted Parking Zone (RPZ)—apply Seattle’s proven RPZ toolkit to all residential blocks within ¼-mile of Holly ✕ Rainier. Residents receive low-cost permits; commuters and arena-goers are limited to 2-hour stays.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seattle.gov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Freight &amp; service zones—dedicate a load zone on every block face to keep delivery vans and paratransit from double-parking. SDOT data show these zones cut cruise time and free up short-term parking for customers.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urbanfreightlab.com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Subtitle"/>
        <w:rPr/>
      </w:pPr>
      <w:bookmarkStart w:colFirst="0" w:colLast="0" w:name="_t4j3cvnh45yo" w:id="14"/>
      <w:bookmarkEnd w:id="14"/>
      <w:r w:rsidDel="00000000" w:rsidR="00000000" w:rsidRPr="00000000">
        <w:rPr>
          <w:rtl w:val="0"/>
        </w:rPr>
        <w:t xml:space="preserve">2 | Build Shared, Not Private, Supply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Shared cars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Campus Park- look for possible private parking options to mitigate street issues like leasing unused parking from local institutions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Residential “Unbundled” parking—all new Brighton housing leases stalls separately from rent, capping supply at 0.4 stalls/unit. Households that forgo a stall receive B-Line ride credits and discounted car-share hours.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Curbside Level-2 EV Chargers—Seattle City Light’s public curb-charging program will place 6 dual-port pedestals on Holly and 44th Ave, open to any EV driver while charging.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seattle.gov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Subtitle"/>
        <w:rPr/>
      </w:pPr>
      <w:bookmarkStart w:colFirst="0" w:colLast="0" w:name="_rd4n3hpmiiyn" w:id="15"/>
      <w:bookmarkEnd w:id="15"/>
      <w:r w:rsidDel="00000000" w:rsidR="00000000" w:rsidRPr="00000000">
        <w:rPr>
          <w:rtl w:val="0"/>
        </w:rPr>
        <w:t xml:space="preserve">3 | Dynamic Management Tools</w:t>
      </w:r>
    </w:p>
    <w:tbl>
      <w:tblPr>
        <w:tblStyle w:val="Table6"/>
        <w:tblW w:w="9360.000000000002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400"/>
      </w:tblPr>
      <w:tblGrid>
        <w:gridCol w:w="2018"/>
        <w:gridCol w:w="4181"/>
        <w:gridCol w:w="3161"/>
        <w:tblGridChange w:id="0">
          <w:tblGrid>
            <w:gridCol w:w="2018"/>
            <w:gridCol w:w="4181"/>
            <w:gridCol w:w="3161"/>
          </w:tblGrid>
        </w:tblGridChange>
      </w:tblGrid>
      <w:tr>
        <w:trPr>
          <w:cantSplit w:val="0"/>
          <w:tblHeader w:val="1"/>
        </w:trPr>
        <w:tc>
          <w:tcPr>
            <w:shd w:fill="cccccc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</w:t>
            </w:r>
          </w:p>
        </w:tc>
        <w:tc>
          <w:tcPr>
            <w:shd w:fill="cccccc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it Works</w:t>
            </w:r>
          </w:p>
        </w:tc>
        <w:tc>
          <w:tcPr>
            <w:shd w:fill="cccccc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Benefits</w:t>
            </w:r>
          </w:p>
        </w:tc>
      </w:tr>
      <w:tr>
        <w:trPr>
          <w:cantSplit w:val="0"/>
          <w:tblHeader w:val="0"/>
        </w:trPr>
        <w:tc>
          <w:tcPr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Occupancy-based meter rates</w:t>
            </w:r>
          </w:p>
        </w:tc>
        <w:tc>
          <w:tcPr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SDOT’s pay-station data adjusts hourly prices every spring/fall to hit 70–85 % target.</w:t>
            </w:r>
          </w:p>
        </w:tc>
        <w:tc>
          <w:tcPr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Shoppers always find a spot within a block; revenue funds sidewalk upkeep.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Event-mode pricing</w:t>
            </w:r>
          </w:p>
        </w:tc>
        <w:tc>
          <w:tcPr>
            <w:shd w:fill="f3f3f3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During Brighton Campus festivals, meters switch to flat $5 after 5 pm; RPZ rules remain.</w:t>
            </w:r>
          </w:p>
        </w:tc>
        <w:tc>
          <w:tcPr>
            <w:shd w:fill="f3f3f3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Residents keep curb access; visitors still have regulated parking.</w:t>
            </w:r>
          </w:p>
        </w:tc>
      </w:tr>
      <w:tr>
        <w:trPr>
          <w:cantSplit w:val="0"/>
          <w:tblHeader w:val="0"/>
        </w:trPr>
        <w:tc>
          <w:tcPr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Flexible permits for care-givers</w:t>
            </w:r>
          </w:p>
        </w:tc>
        <w:tc>
          <w:tcPr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Home-health aides can park beyond the 2-hour limit with a digital permit tied to the patient’s address.</w:t>
            </w:r>
          </w:p>
        </w:tc>
        <w:tc>
          <w:tcPr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Seniors get reliable in-home service; aides aren’t ticket-risking.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 dashboards</w:t>
            </w:r>
          </w:p>
        </w:tc>
        <w:tc>
          <w:tcPr>
            <w:shd w:fill="f3f3f3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Quarterly curb-use reports (supply, turnover, citation counts) posted in the Community Room and online.</w:t>
            </w:r>
          </w:p>
        </w:tc>
        <w:tc>
          <w:tcPr>
            <w:shd w:fill="f3f3f3" w:val="clear"/>
            <w:tcMar>
              <w:top w:w="158.4" w:type="dxa"/>
              <w:left w:w="158.4" w:type="dxa"/>
              <w:bottom w:w="158.4" w:type="dxa"/>
              <w:right w:w="158.4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Everyone sees how the system is working and can propose tweaks.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Subtitle"/>
        <w:rPr/>
      </w:pPr>
      <w:bookmarkStart w:colFirst="0" w:colLast="0" w:name="_pz3bysfxrv8z" w:id="16"/>
      <w:bookmarkEnd w:id="16"/>
      <w:r w:rsidDel="00000000" w:rsidR="00000000" w:rsidRPr="00000000">
        <w:rPr>
          <w:rtl w:val="0"/>
        </w:rPr>
        <w:t xml:space="preserve">4 | Construction &amp; Transition Plans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Temporary lot at former gas station (Holly ✕ 46th)—40 gravel stalls, free two-hour parking during 2028 construction; wayfinding signs direct drivers to it first.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Work-site loading management—contractors stage inside the super-hub site fence; peak-hour street closures prohibited to keep buses moving.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Resident parking ambassadors—two local hires patrol on foot during construction months, guiding visitors to legal spaces and logging trouble spots for SDOT response.</w:t>
      </w:r>
      <w:r w:rsidDel="00000000" w:rsidR="00000000" w:rsidRPr="00000000">
        <w:rPr>
          <w:rtl w:val="0"/>
        </w:rPr>
      </w:r>
    </w:p>
    <w:sectPr>
      <w:headerReference r:id="rId15" w:type="first"/>
      <w:footerReference r:id="rId16" w:type="default"/>
      <w:footerReference r:id="rId17" w:type="first"/>
      <w:pgSz w:h="15840" w:w="12240" w:orient="portrait"/>
      <w:pgMar w:bottom="1440" w:top="153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Play"/>
  <w:font w:name="Nunito"/>
  <w:font w:name="Lato"/>
  <w:font w:name="Comfortaa"/>
  <w:font w:name="Nova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Style w:val="Heading2"/>
      <w:spacing w:line="240" w:lineRule="auto"/>
      <w:rPr>
        <w:sz w:val="20"/>
        <w:szCs w:val="20"/>
      </w:rPr>
    </w:pPr>
    <w:bookmarkStart w:colFirst="0" w:colLast="0" w:name="_niminuxqiflk" w:id="17"/>
    <w:bookmarkEnd w:id="17"/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5857875</wp:posOffset>
              </wp:positionH>
              <wp:positionV relativeFrom="paragraph">
                <wp:posOffset>-180974</wp:posOffset>
              </wp:positionV>
              <wp:extent cx="733425" cy="38265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40925" y="132925"/>
                        <a:ext cx="858900" cy="4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ato" w:cs="Lato" w:eastAsia="Lato" w:hAnsi="Lato"/>
                              <w:b w:val="0"/>
                              <w:i w:val="0"/>
                              <w:smallCaps w:val="0"/>
                              <w:strike w:val="0"/>
                              <w:color w:val="837e67"/>
                              <w:sz w:val="32"/>
                              <w:vertAlign w:val="baseline"/>
                            </w:rPr>
                            <w:t xml:space="preserve">DRAFT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5857875</wp:posOffset>
              </wp:positionH>
              <wp:positionV relativeFrom="paragraph">
                <wp:posOffset>-180974</wp:posOffset>
              </wp:positionV>
              <wp:extent cx="733425" cy="38265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3425" cy="3826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  <w:jc w:val="center"/>
    </w:pPr>
    <w:rPr>
      <w:rFonts w:ascii="Nunito" w:cs="Nunito" w:eastAsia="Nunito" w:hAnsi="Nunito"/>
      <w:color w:val="8e593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360" w:lineRule="auto"/>
    </w:pPr>
    <w:rPr>
      <w:rFonts w:ascii="Comfortaa" w:cs="Comfortaa" w:eastAsia="Comfortaa" w:hAnsi="Comfortaa"/>
      <w:color w:val="4c1130"/>
      <w:sz w:val="36"/>
      <w:szCs w:val="3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kingcounty.gov/~/media/depts/metro/programs-projects/rapidride/r-line-corridor-planning-and-upgrade-report-executive-summary.pdf?utm_source=chatgpt.com" TargetMode="External"/><Relationship Id="rId10" Type="http://schemas.openxmlformats.org/officeDocument/2006/relationships/hyperlink" Target="https://www.seattle.gov/transportation/projects-and-programs/programs/pedestrian-program/yvyc-program?utm_source=chatgpt.com" TargetMode="External"/><Relationship Id="rId13" Type="http://schemas.openxmlformats.org/officeDocument/2006/relationships/hyperlink" Target="https://urbanfreightlab.com/research_keywords/curbspace-management/?utm_source=chatgpt.com" TargetMode="External"/><Relationship Id="rId12" Type="http://schemas.openxmlformats.org/officeDocument/2006/relationships/hyperlink" Target="https://www.seattle.gov/transportation/permits-and-services/permits/parking-permits/rpz-permits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attle.gov/transportation/projects-and-programs/safety-first/vision-zero/projects/rainier-improvements?utm_source=chatgpt.com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seattle.gov/city-light/in-the-community/current-projects/curbside-level-2-ev-charging?utm_source=chatgpt.com" TargetMode="Externa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